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Competition Terms and Conditions</w:t>
      </w:r>
    </w:p>
    <w:p>
      <w:r>
        <w:rPr>
          <w:i/>
          <w:color w:val="505050"/>
        </w:rPr>
        <w:t>Rural Health Transformation Competition  Challis Idaho Case Study</w:t>
      </w:r>
    </w:p>
    <w:p>
      <w:r>
        <w:t>These terms govern participation in the Rural Health Transformation Competition organized by Idaho Advanced Consulting in partnership with Cornerstone Whole Healthcare. By registering, accepting these terms, or submitting materials, each participant agrees to them. This is a business-facing draft and should be reviewed by Idaho counsel before public release.</w:t>
      </w:r>
    </w:p>
    <w:p>
      <w:pPr>
        <w:pStyle w:val="Heading1"/>
      </w:pPr>
      <w:r>
        <w:t>1 Competition purpose</w:t>
      </w:r>
    </w:p>
    <w:p>
      <w:r>
        <w:t>The competition asks participants to develop a financially sustainable rural primary-care model for a fictional low-volume Challis, Idaho case. The case includes a modeled $1.5 million rural health transformation launch grant. The aim is a practical operating model that can improve access after grant funding ends.</w:t>
      </w:r>
    </w:p>
    <w:p>
      <w:pPr>
        <w:pStyle w:val="Heading1"/>
      </w:pPr>
      <w:r>
        <w:t>2 Eligibility and teams</w:t>
      </w:r>
    </w:p>
    <w:p>
      <w:r>
        <w:t>Participants may enter individually or as a team, subject to competition logistics. Each contributor must be listed in the submission. Participants are responsible for ensuring that their participation and materials do not breach obligations to an employer, school, sponsor, or third party.</w:t>
      </w:r>
    </w:p>
    <w:p>
      <w:pPr>
        <w:pStyle w:val="Heading1"/>
      </w:pPr>
      <w:r>
        <w:t>3 Minimum submission requirements</w:t>
      </w:r>
    </w:p>
    <w:p>
      <w:r>
        <w:t>Each entry must include one primary narrative document of at least three full pages, excluding any cover page, reference list, or appendices. Supplemental files are strongly encouraged when they improve the evidence or implementation detail, including a financial model, data analysis workbook, slides, maps, diagrams, mockups, or appendices.</w:t>
      </w:r>
    </w:p>
    <w:tbl>
      <w:tblPr>
        <w:tblW w:type="auto" w:w="0"/>
        <w:jc w:val="center"/>
        <w:tblLayout w:type="fixed"/>
        <w:tblLook w:firstColumn="1" w:firstRow="1" w:lastColumn="0" w:lastRow="0" w:noHBand="0" w:noVBand="1" w:val="04A0"/>
      </w:tblPr>
      <w:tblGrid>
        <w:gridCol w:w="4997"/>
        <w:gridCol w:w="4997"/>
      </w:tblGrid>
      <w:tr>
        <w:tc>
          <w:tcPr>
            <w:tcW w:type="dxa" w:w="4997"/>
            <w:shd w:fill="17365D"/>
            <w:vAlign w:val="center"/>
            <w:tcBorders>
              <w:top w:val="single" w:sz="4" w:color="D9D9D9"/>
              <w:left w:val="single" w:sz="4" w:color="D9D9D9"/>
              <w:bottom w:val="single" w:sz="4" w:color="D9D9D9"/>
              <w:right w:val="single" w:sz="4" w:color="D9D9D9"/>
              <w:insideH w:val="single" w:sz="4" w:color="D9D9D9"/>
              <w:insideV w:val="single" w:sz="4" w:color="D9D9D9"/>
            </w:tcBorders>
          </w:tcPr>
          <w:p>
            <w:r>
              <w:rPr>
                <w:b/>
                <w:color w:val="FFFFFF"/>
                <w:sz w:val="18"/>
              </w:rPr>
              <w:t>Required element</w:t>
            </w:r>
          </w:p>
        </w:tc>
        <w:tc>
          <w:tcPr>
            <w:tcW w:type="dxa" w:w="4997"/>
            <w:shd w:fill="17365D"/>
            <w:vAlign w:val="center"/>
            <w:tcBorders>
              <w:top w:val="single" w:sz="4" w:color="D9D9D9"/>
              <w:left w:val="single" w:sz="4" w:color="D9D9D9"/>
              <w:bottom w:val="single" w:sz="4" w:color="D9D9D9"/>
              <w:right w:val="single" w:sz="4" w:color="D9D9D9"/>
              <w:insideH w:val="single" w:sz="4" w:color="D9D9D9"/>
              <w:insideV w:val="single" w:sz="4" w:color="D9D9D9"/>
            </w:tcBorders>
          </w:tcPr>
          <w:p>
            <w:r>
              <w:rPr>
                <w:b/>
                <w:color w:val="FFFFFF"/>
                <w:sz w:val="18"/>
              </w:rPr>
              <w:t>Minimum expectation</w:t>
            </w:r>
          </w:p>
        </w:tc>
      </w:tr>
      <w:tr>
        <w:tc>
          <w:tcPr>
            <w:tcW w:type="dxa" w:w="4997"/>
            <w:vAlign w:val="center"/>
            <w:tcBorders>
              <w:top w:val="single" w:sz="4" w:color="D9D9D9"/>
              <w:left w:val="single" w:sz="4" w:color="D9D9D9"/>
              <w:bottom w:val="single" w:sz="4" w:color="D9D9D9"/>
              <w:right w:val="single" w:sz="4" w:color="D9D9D9"/>
              <w:insideH w:val="single" w:sz="4" w:color="D9D9D9"/>
              <w:insideV w:val="single" w:sz="4" w:color="D9D9D9"/>
            </w:tcBorders>
          </w:tcPr>
          <w:p>
            <w:pPr>
              <w:spacing w:before="40" w:after="40"/>
            </w:pPr>
            <w:r>
              <w:rPr>
                <w:sz w:val="18"/>
              </w:rPr>
              <w:t>Problem and proposed model</w:t>
            </w:r>
          </w:p>
        </w:tc>
        <w:tc>
          <w:tcPr>
            <w:tcW w:type="dxa" w:w="4997"/>
            <w:vAlign w:val="center"/>
            <w:tcBorders>
              <w:top w:val="single" w:sz="4" w:color="D9D9D9"/>
              <w:left w:val="single" w:sz="4" w:color="D9D9D9"/>
              <w:bottom w:val="single" w:sz="4" w:color="D9D9D9"/>
              <w:right w:val="single" w:sz="4" w:color="D9D9D9"/>
              <w:insideH w:val="single" w:sz="4" w:color="D9D9D9"/>
              <w:insideV w:val="single" w:sz="4" w:color="D9D9D9"/>
            </w:tcBorders>
          </w:tcPr>
          <w:p>
            <w:pPr>
              <w:spacing w:before="40" w:after="40"/>
            </w:pPr>
            <w:r>
              <w:rPr>
                <w:sz w:val="18"/>
              </w:rPr>
              <w:t>Explain the rural access and business problem, the population served, and the proposed operating model.</w:t>
            </w:r>
          </w:p>
        </w:tc>
      </w:tr>
      <w:tr>
        <w:tc>
          <w:tcPr>
            <w:tcW w:type="dxa" w:w="4997"/>
            <w:shd w:fill="F2F2F2"/>
            <w:vAlign w:val="center"/>
            <w:tcBorders>
              <w:top w:val="single" w:sz="4" w:color="D9D9D9"/>
              <w:left w:val="single" w:sz="4" w:color="D9D9D9"/>
              <w:bottom w:val="single" w:sz="4" w:color="D9D9D9"/>
              <w:right w:val="single" w:sz="4" w:color="D9D9D9"/>
              <w:insideH w:val="single" w:sz="4" w:color="D9D9D9"/>
              <w:insideV w:val="single" w:sz="4" w:color="D9D9D9"/>
            </w:tcBorders>
          </w:tcPr>
          <w:p>
            <w:pPr>
              <w:spacing w:before="40" w:after="40"/>
            </w:pPr>
            <w:r>
              <w:rPr>
                <w:sz w:val="18"/>
              </w:rPr>
              <w:t>Research and evidence</w:t>
            </w:r>
          </w:p>
        </w:tc>
        <w:tc>
          <w:tcPr>
            <w:tcW w:type="dxa" w:w="4997"/>
            <w:shd w:fill="F2F2F2"/>
            <w:vAlign w:val="center"/>
            <w:tcBorders>
              <w:top w:val="single" w:sz="4" w:color="D9D9D9"/>
              <w:left w:val="single" w:sz="4" w:color="D9D9D9"/>
              <w:bottom w:val="single" w:sz="4" w:color="D9D9D9"/>
              <w:right w:val="single" w:sz="4" w:color="D9D9D9"/>
              <w:insideH w:val="single" w:sz="4" w:color="D9D9D9"/>
              <w:insideV w:val="single" w:sz="4" w:color="D9D9D9"/>
            </w:tcBorders>
          </w:tcPr>
          <w:p>
            <w:pPr>
              <w:spacing w:before="40" w:after="40"/>
            </w:pPr>
            <w:r>
              <w:rPr>
                <w:sz w:val="18"/>
              </w:rPr>
              <w:t>Use credible sources, cite them, and include relevant graphs, tables, maps, or other visuals. Clearly separate fact, assumption, and recommendation.</w:t>
            </w:r>
          </w:p>
        </w:tc>
      </w:tr>
      <w:tr>
        <w:tc>
          <w:tcPr>
            <w:tcW w:type="dxa" w:w="4997"/>
            <w:vAlign w:val="center"/>
            <w:tcBorders>
              <w:top w:val="single" w:sz="4" w:color="D9D9D9"/>
              <w:left w:val="single" w:sz="4" w:color="D9D9D9"/>
              <w:bottom w:val="single" w:sz="4" w:color="D9D9D9"/>
              <w:right w:val="single" w:sz="4" w:color="D9D9D9"/>
              <w:insideH w:val="single" w:sz="4" w:color="D9D9D9"/>
              <w:insideV w:val="single" w:sz="4" w:color="D9D9D9"/>
            </w:tcBorders>
          </w:tcPr>
          <w:p>
            <w:pPr>
              <w:spacing w:before="40" w:after="40"/>
            </w:pPr>
            <w:r>
              <w:rPr>
                <w:sz w:val="18"/>
              </w:rPr>
              <w:t>Implementation in Idaho</w:t>
            </w:r>
          </w:p>
        </w:tc>
        <w:tc>
          <w:tcPr>
            <w:tcW w:type="dxa" w:w="4997"/>
            <w:vAlign w:val="center"/>
            <w:tcBorders>
              <w:top w:val="single" w:sz="4" w:color="D9D9D9"/>
              <w:left w:val="single" w:sz="4" w:color="D9D9D9"/>
              <w:bottom w:val="single" w:sz="4" w:color="D9D9D9"/>
              <w:right w:val="single" w:sz="4" w:color="D9D9D9"/>
              <w:insideH w:val="single" w:sz="4" w:color="D9D9D9"/>
              <w:insideV w:val="single" w:sz="4" w:color="D9D9D9"/>
            </w:tcBorders>
          </w:tcPr>
          <w:p>
            <w:pPr>
              <w:spacing w:before="40" w:after="40"/>
            </w:pPr>
            <w:r>
              <w:rPr>
                <w:sz w:val="18"/>
              </w:rPr>
              <w:t>Describe partners, sequencing, operational workflow, regulatory or contracting dependencies, and a practical rollout plan.</w:t>
            </w:r>
          </w:p>
        </w:tc>
      </w:tr>
      <w:tr>
        <w:tc>
          <w:tcPr>
            <w:tcW w:type="dxa" w:w="4997"/>
            <w:shd w:fill="F2F2F2"/>
            <w:vAlign w:val="center"/>
            <w:tcBorders>
              <w:top w:val="single" w:sz="4" w:color="D9D9D9"/>
              <w:left w:val="single" w:sz="4" w:color="D9D9D9"/>
              <w:bottom w:val="single" w:sz="4" w:color="D9D9D9"/>
              <w:right w:val="single" w:sz="4" w:color="D9D9D9"/>
              <w:insideH w:val="single" w:sz="4" w:color="D9D9D9"/>
              <w:insideV w:val="single" w:sz="4" w:color="D9D9D9"/>
            </w:tcBorders>
          </w:tcPr>
          <w:p>
            <w:pPr>
              <w:spacing w:before="40" w:after="40"/>
            </w:pPr>
            <w:r>
              <w:rPr>
                <w:sz w:val="18"/>
              </w:rPr>
              <w:t>Cost and economics</w:t>
            </w:r>
          </w:p>
        </w:tc>
        <w:tc>
          <w:tcPr>
            <w:tcW w:type="dxa" w:w="4997"/>
            <w:shd w:fill="F2F2F2"/>
            <w:vAlign w:val="center"/>
            <w:tcBorders>
              <w:top w:val="single" w:sz="4" w:color="D9D9D9"/>
              <w:left w:val="single" w:sz="4" w:color="D9D9D9"/>
              <w:bottom w:val="single" w:sz="4" w:color="D9D9D9"/>
              <w:right w:val="single" w:sz="4" w:color="D9D9D9"/>
              <w:insideH w:val="single" w:sz="4" w:color="D9D9D9"/>
              <w:insideV w:val="single" w:sz="4" w:color="D9D9D9"/>
            </w:tcBorders>
          </w:tcPr>
          <w:p>
            <w:pPr>
              <w:spacing w:before="40" w:after="40"/>
            </w:pPr>
            <w:r>
              <w:rPr>
                <w:sz w:val="18"/>
              </w:rPr>
              <w:t>Estimate startup and recurring implementation costs, revenue logic, funding needs, break-even or sustainability pathway, and key risks.</w:t>
            </w:r>
          </w:p>
        </w:tc>
      </w:tr>
      <w:tr>
        <w:tc>
          <w:tcPr>
            <w:tcW w:type="dxa" w:w="4997"/>
            <w:vAlign w:val="center"/>
            <w:tcBorders>
              <w:top w:val="single" w:sz="4" w:color="D9D9D9"/>
              <w:left w:val="single" w:sz="4" w:color="D9D9D9"/>
              <w:bottom w:val="single" w:sz="4" w:color="D9D9D9"/>
              <w:right w:val="single" w:sz="4" w:color="D9D9D9"/>
              <w:insideH w:val="single" w:sz="4" w:color="D9D9D9"/>
              <w:insideV w:val="single" w:sz="4" w:color="D9D9D9"/>
            </w:tcBorders>
          </w:tcPr>
          <w:p>
            <w:pPr>
              <w:spacing w:before="40" w:after="40"/>
            </w:pPr>
            <w:r>
              <w:rPr>
                <w:sz w:val="18"/>
              </w:rPr>
              <w:t>Clinical or service implications</w:t>
            </w:r>
          </w:p>
        </w:tc>
        <w:tc>
          <w:tcPr>
            <w:tcW w:type="dxa" w:w="4997"/>
            <w:vAlign w:val="center"/>
            <w:tcBorders>
              <w:top w:val="single" w:sz="4" w:color="D9D9D9"/>
              <w:left w:val="single" w:sz="4" w:color="D9D9D9"/>
              <w:bottom w:val="single" w:sz="4" w:color="D9D9D9"/>
              <w:right w:val="single" w:sz="4" w:color="D9D9D9"/>
              <w:insideH w:val="single" w:sz="4" w:color="D9D9D9"/>
              <w:insideV w:val="single" w:sz="4" w:color="D9D9D9"/>
            </w:tcBorders>
          </w:tcPr>
          <w:p>
            <w:pPr>
              <w:spacing w:before="40" w:after="40"/>
            </w:pPr>
            <w:r>
              <w:rPr>
                <w:sz w:val="18"/>
              </w:rPr>
              <w:t>For service-line or staffing proposals, identify required provider education, licensure or specialties, supervision, equipment, protocols, and referral relationships as applicable.</w:t>
            </w:r>
          </w:p>
        </w:tc>
      </w:tr>
      <w:tr>
        <w:tc>
          <w:tcPr>
            <w:tcW w:type="dxa" w:w="4997"/>
            <w:shd w:fill="F2F2F2"/>
            <w:vAlign w:val="center"/>
            <w:tcBorders>
              <w:top w:val="single" w:sz="4" w:color="D9D9D9"/>
              <w:left w:val="single" w:sz="4" w:color="D9D9D9"/>
              <w:bottom w:val="single" w:sz="4" w:color="D9D9D9"/>
              <w:right w:val="single" w:sz="4" w:color="D9D9D9"/>
              <w:insideH w:val="single" w:sz="4" w:color="D9D9D9"/>
              <w:insideV w:val="single" w:sz="4" w:color="D9D9D9"/>
            </w:tcBorders>
          </w:tcPr>
          <w:p>
            <w:pPr>
              <w:spacing w:before="40" w:after="40"/>
            </w:pPr>
            <w:r>
              <w:rPr>
                <w:sz w:val="18"/>
              </w:rPr>
              <w:t>Use of the case data</w:t>
            </w:r>
          </w:p>
        </w:tc>
        <w:tc>
          <w:tcPr>
            <w:tcW w:type="dxa" w:w="4997"/>
            <w:shd w:fill="F2F2F2"/>
            <w:vAlign w:val="center"/>
            <w:tcBorders>
              <w:top w:val="single" w:sz="4" w:color="D9D9D9"/>
              <w:left w:val="single" w:sz="4" w:color="D9D9D9"/>
              <w:bottom w:val="single" w:sz="4" w:color="D9D9D9"/>
              <w:right w:val="single" w:sz="4" w:color="D9D9D9"/>
              <w:insideH w:val="single" w:sz="4" w:color="D9D9D9"/>
              <w:insideV w:val="single" w:sz="4" w:color="D9D9D9"/>
            </w:tcBorders>
          </w:tcPr>
          <w:p>
            <w:pPr>
              <w:spacing w:before="40" w:after="40"/>
            </w:pPr>
            <w:r>
              <w:rPr>
                <w:sz w:val="18"/>
              </w:rPr>
              <w:t>State material assumptions and cite the synthetic dataset where used. Do not represent modeled outputs as verified real-world facts.</w:t>
            </w:r>
          </w:p>
        </w:tc>
      </w:tr>
    </w:tbl>
    <w:p>
      <w:pPr>
        <w:spacing w:after="40"/>
      </w:pPr>
    </w:p>
    <w:p>
      <w:pPr>
        <w:pStyle w:val="Heading1"/>
      </w:pPr>
      <w:r>
        <w:t>4 Research quality and use of artificial intelligence</w:t>
      </w:r>
    </w:p>
    <w:p>
      <w:r>
        <w:t>Artificial intelligence tools may be used and are encouraged for research, brainstorming, data exploration, scenario testing, drafting, coding, visualization, and editing. Participants remain responsible for the accuracy, sources, calculations, judgments, and final presentation of their work.</w:t>
      </w:r>
    </w:p>
    <w:p>
      <w:r>
        <w:t>An entry that appears to be direct, substantially unedited output from ChatGPT, Gemini, Claude, or another generative system may be rejected. The sponsors may reject entries that lack participant analysis, contain uncited claims, present fabricated sources or calculations, or show no meaningful adaptation to the Challis case. Participants should disclose material AI tools and uses in a short appendix or methods note.</w:t>
      </w:r>
    </w:p>
    <w:p>
      <w:pPr>
        <w:pStyle w:val="Heading1"/>
      </w:pPr>
      <w:r>
        <w:t>5 Synthetic data and confidentiality</w:t>
      </w:r>
    </w:p>
    <w:p>
      <w:r>
        <w:t>The supplied workbook is synthetic training data. Although its aggregate service-code, payer, and payment patterns were calibrated from a supplied clinic operations workbook, all clinic, staff, patient, encounter, and payment records in the competition workbook are invented. It is not clinical guidance, claims data, or a representation of actual patients, providers, reimbursement, or clinic performance. Do not use it for care, billing, credentialing, research involving human subjects, or other regulated-data purposes.</w:t>
      </w:r>
    </w:p>
    <w:p>
      <w:r>
        <w:t>Unless a sponsor expressly agrees in writing, submissions are not confidential. Do not include trade secrets, protected health information, personal data, confidential business information, or restricted data.</w:t>
      </w:r>
    </w:p>
    <w:p>
      <w:pPr>
        <w:pStyle w:val="Heading1"/>
      </w:pPr>
      <w:r>
        <w:t>6 Rights in submissions and ideas</w:t>
      </w:r>
    </w:p>
    <w:p>
      <w:r>
        <w:t>In consideration for participation, each participant grants Idaho Advanced Consulting and Cornerstone Whole Healthcare a perpetual, irrevocable, worldwide, royalty-free, fully paid, transferable, sublicensable right and license to use, reproduce, adapt, modify, disclose, distribute, display, perform, and otherwise exploit submitted materials and the ideas, concepts, methods, models, analyses, designs, and recommendations embodied in them for any lawful purpose. This includes evaluating entries, developing or submitting grant applications, planning, implementing, commercializing, or improving rural-health initiatives, and communicating about the competition.</w:t>
      </w:r>
    </w:p>
    <w:p>
      <w:r>
        <w:t>Participants understand that the sponsors may independently develop or pursue similar ideas. Participants will not receive compensation, ownership, attribution, or a future opportunity solely because a sponsor uses a submitted idea, except where a separate written agreement expressly provides otherwise.</w:t>
      </w:r>
    </w:p>
    <w:p>
      <w:pPr>
        <w:pStyle w:val="Heading1"/>
      </w:pPr>
      <w:r>
        <w:t>7 Participant representations</w:t>
      </w:r>
    </w:p>
    <w:p>
      <w:r>
        <w:t>Participants represent that they have the right to submit their materials, that their work is original or properly authorized, and that it does not knowingly infringe third-party rights. Participants retain ownership of pre-existing materials they identify in writing at submission, subject to the license above.</w:t>
      </w:r>
    </w:p>
    <w:p>
      <w:pPr>
        <w:pStyle w:val="Heading1"/>
      </w:pPr>
      <w:r>
        <w:t>8 Recruiting and communications</w:t>
      </w:r>
    </w:p>
    <w:p>
      <w:r>
        <w:t>The sponsors may use the competition to identify potential interns, employees, contractors, collaborators, advisors, or future partners. Participation does not create an employment relationship and does not guarantee an interview, offer, compensation, or future engagement. Participants authorize reasonable use of their name, school or organization, and competition-related images, recordings, and descriptions in competition communications unless prohibited by law or revoked before publication in a written notice accepted by the sponsors.</w:t>
      </w:r>
    </w:p>
    <w:p>
      <w:pPr>
        <w:pStyle w:val="Heading1"/>
      </w:pPr>
      <w:r>
        <w:t>9 Administration and governing law</w:t>
      </w:r>
    </w:p>
    <w:p>
      <w:r>
        <w:t>Sponsors may select judges, change logistical details, disqualify entries that violate these terms, and make final decisions on eligibility, scoring, awards, and use of submissions. To the extent permitted by law, the sponsors are not liable for indirect, incidental, special, consequential, or punitive damages arising from participation. Idaho law governs these terms, and venue for disputes will lie in Idaho courts unless applicable law requires otherwise.</w:t>
      </w:r>
    </w:p>
    <w:p>
      <w:pPr>
        <w:pStyle w:val="Heading1"/>
      </w:pPr>
      <w:r>
        <w:t>10 Acceptance</w:t>
      </w:r>
    </w:p>
    <w:p>
      <w:r>
        <w:t>By checking the competition registration acceptance box or submitting an entry, each participant confirms that they have read and agree to these terms and conditions.</w:t>
      </w:r>
    </w:p>
    <w:p>
      <w:r>
        <w:t>Participant name: ______________________________    Date: ____________________</w:t>
      </w:r>
    </w:p>
    <w:p>
      <w:r>
        <w:t>Team name: ____________________________________    School: __________________</w:t>
      </w:r>
    </w:p>
    <w:sectPr w:rsidR="00FC693F" w:rsidRPr="0006063C" w:rsidSect="00034616">
      <w:pgSz w:w="12240" w:h="15840"/>
      <w:pgMar w:top="792" w:right="1123" w:bottom="792" w:left="112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00" w:after="80"/>
      <w:outlineLvl w:val="0"/>
    </w:pPr>
    <w:rPr>
      <w:rFonts w:asciiTheme="majorHAnsi" w:eastAsiaTheme="majorEastAsia" w:hAnsiTheme="majorHAnsi" w:cstheme="majorBidi" w:ascii="Arial" w:hAnsi="Arial"/>
      <w:b/>
      <w:bCs/>
      <w:color w:val="000000"/>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000000"/>
      <w:sz w:val="23"/>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rial" w:hAnsi="Arial"/>
      <w:color w:val="000000"/>
      <w:spacing w:val="5"/>
      <w:kern w:val="28"/>
      <w:sz w:val="4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